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129" w:rsidRPr="00A21129" w:rsidRDefault="00A21129" w:rsidP="00A21129">
      <w:pPr>
        <w:shd w:val="clear" w:color="auto" w:fill="FFFFFF"/>
        <w:spacing w:before="90" w:after="90" w:line="468" w:lineRule="atLeast"/>
        <w:outlineLvl w:val="0"/>
        <w:rPr>
          <w:rFonts w:ascii="Arial" w:eastAsia="Times New Roman" w:hAnsi="Arial" w:cs="Arial"/>
          <w:color w:val="5C5C5C"/>
          <w:kern w:val="36"/>
          <w:sz w:val="39"/>
          <w:szCs w:val="39"/>
          <w:lang w:eastAsia="ru-RU"/>
        </w:rPr>
      </w:pPr>
      <w:r w:rsidRPr="00A21129">
        <w:rPr>
          <w:rFonts w:ascii="Arial" w:eastAsia="Times New Roman" w:hAnsi="Arial" w:cs="Arial"/>
          <w:color w:val="5C5C5C"/>
          <w:kern w:val="36"/>
          <w:sz w:val="39"/>
          <w:szCs w:val="39"/>
          <w:lang w:eastAsia="ru-RU"/>
        </w:rPr>
        <w:t>Паровая винтовая машина</w:t>
      </w:r>
    </w:p>
    <w:p w:rsidR="00A21129" w:rsidRPr="00A21129" w:rsidRDefault="006033DD" w:rsidP="006033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noProof/>
        </w:rPr>
        <mc:AlternateContent>
          <mc:Choice Requires="wps">
            <w:drawing>
              <wp:inline distT="0" distB="0" distL="0" distR="0" wp14:anchorId="3BCE468A" wp14:editId="630AA2F1">
                <wp:extent cx="304800" cy="304800"/>
                <wp:effectExtent l="0" t="0" r="0" b="0"/>
                <wp:docPr id="6" name="AutoShape 1" descr="D:\%D0%9D%D0%B0%D1%81%D0%BE%D1%81%D1%8B\%D0%9F%D0%B0%D1%80%D0%BE%D0%B2%D0%B0%D1%8F %D0%B2%D0%B8%D0%BD%D1%82%D0%BE%D0%B2%D0%B0%D1%8F %D0%BC%D0%B0%D1%88%D0%B8%D0%BD%D0%B0 _ Sovmash.com_files\turb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BA599E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sEmNcOAwAAhgYAAA4AAAAAAAAAAAAAAAAALgIAAGRycy9lMm9Eb2Mu&#10;eG1sUEsBAi0AFAAGAAgAAAAhAEyg6SzYAAAAAwEAAA8AAAAAAAAAAAAAAAAAaA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5A46CDC" wp14:editId="13565580">
                <wp:extent cx="304800" cy="304800"/>
                <wp:effectExtent l="0" t="0" r="0" b="0"/>
                <wp:docPr id="7" name="AutoShape 3" descr="D:\%D0%9D%D0%B0%D1%81%D0%BE%D1%81%D1%8B\%D0%9F%D0%B0%D1%80%D0%BE%D0%B2%D0%B0%D1%8F %D0%B2%D0%B8%D0%BD%D1%82%D0%BE%D0%B2%D0%B0%D1%8F %D0%BC%D0%B0%D1%88%D0%B8%D0%BD%D0%B0 _ Sovmash.com_files\turb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81A40C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MEE3akOAwAAhgYAAA4AAAAAAAAAAAAAAAAALgIAAGRycy9lMm9Eb2Mu&#10;eG1sUEsBAi0AFAAGAAgAAAAhAEyg6SzYAAAAAwEAAA8AAAAAAAAAAAAAAAAAaA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hyperlink r:id="rId5" w:tgtFrame="_blank" w:history="1">
        <w:r w:rsidR="00A21129" w:rsidRPr="00A21129">
          <w:rPr>
            <w:rFonts w:ascii="Arial" w:eastAsia="Times New Roman" w:hAnsi="Arial" w:cs="Arial"/>
            <w:b/>
            <w:bCs/>
            <w:noProof/>
            <w:color w:val="000000"/>
            <w:sz w:val="20"/>
            <w:szCs w:val="20"/>
            <w:lang w:eastAsia="ru-RU"/>
          </w:rPr>
          <mc:AlternateContent>
            <mc:Choice Requires="wps">
              <w:drawing>
                <wp:anchor distT="0" distB="0" distL="142875" distR="142875" simplePos="0" relativeHeight="251659264" behindDoc="0" locked="0" layoutInCell="1" allowOverlap="0" wp14:anchorId="31BA3A32" wp14:editId="69C30C6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781425" cy="2381250"/>
                  <wp:effectExtent l="0" t="0" r="0" b="0"/>
                  <wp:wrapSquare wrapText="bothSides"/>
                  <wp:docPr id="5" name="AutoShape 2" descr="D:\%D0%9D%D0%B0%D1%81%D0%BE%D1%81%D1%8B\Паровая винтовая машина _ Sovmash.com_files\turb_.JPG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78142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220FACE" id="AutoShape 2" o:spid="_x0000_s1026" href="D:\ÐÐ°ÑÐ¾ÑÑ\Паровая винтовая машина _ Sovmash.com_files\turb_.JPG" target="&quot;_blank&quot;" style="position:absolute;margin-left:0;margin-top:0;width:297.75pt;height:187.5pt;z-index:251659264;visibility:visible;mso-wrap-style:square;mso-width-percent:0;mso-height-percent:0;mso-wrap-distance-left:11.25pt;mso-wrap-distance-top:0;mso-wrap-distance-right:11.25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" o:allowoverlap="f" o:button="t" filled="f" stroked="f">
                  <v:fill o:detectmouseclick="t"/>
                  <o:lock v:ext="edit" aspectratio="t"/>
                  <w10:wrap type="square" anchory="line"/>
                </v:rect>
              </w:pict>
            </mc:Fallback>
          </mc:AlternateContent>
        </w:r>
      </w:hyperlink>
      <w:r w:rsidR="00A21129" w:rsidRPr="00A2112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С.Р. БЕРЕЗИН</w:t>
      </w:r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д.т.н., профессор, Уфимский государственный авиационный технический университет (УГАТУ)</w:t>
      </w:r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A21129" w:rsidRPr="00A2112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В.М. БОРОВКОВ</w:t>
      </w:r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д.т.н., заслуженный энергетик России, зав. кафедрой </w:t>
      </w:r>
      <w:proofErr w:type="spellStart"/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промтеплоэнергетики</w:t>
      </w:r>
      <w:proofErr w:type="spellEnd"/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Санкт-Петербургского государственного политехнического университета (</w:t>
      </w:r>
      <w:proofErr w:type="spellStart"/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СПбГПУ</w:t>
      </w:r>
      <w:proofErr w:type="spellEnd"/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), профессор</w:t>
      </w:r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A21129" w:rsidRPr="00A2112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В.И. ВЕДАЙКО</w:t>
      </w:r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к.т.н., Санкт-Петербургский государственный университет низкотемпературных и пищевых технологий (</w:t>
      </w:r>
      <w:proofErr w:type="spellStart"/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СПбГУНиПТ</w:t>
      </w:r>
      <w:proofErr w:type="spellEnd"/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="00A21129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 учебника по физике за 8-й класс мы можем узнать, что первая паровая турбина, нашедшая практическое применение, была изготовлена в далеком 1889 году шведом Лавалем. Классической паровой турбине уже больше века, а классика, как известно, всегда в моде.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настоящее время в России и в мире получают все большее распространение новые технологии энергосбережения. К ним, в частности, относится использование энергии пара для выработки электроэнергии </w:t>
      </w:r>
      <w:proofErr w:type="gramStart"/>
      <w:r w:rsidR="006033DD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котельны</w:t>
      </w:r>
      <w:r w:rsidR="006033D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</w:t>
      </w:r>
      <w:proofErr w:type="gramEnd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перевода их в мини-ТЭЦ. Масштабы применения этой технологии энергосбережения достаточно велики. Так, в России находится в эксплуатации около 80 тыс. паровых котельных паропроизводительностью 10-100 т/час. Эти котельные обычно используются в производственно-отопительных целях и принадлежат небольшим предприятиям бумажной, лесопильной, пищевой, мясомолочной, кондитерской, строительных материалов, текстильной, кожевенной и многих других индустрий.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Параметры производимого пара в разных котельных сильно различаются в зависимости от назначения использования пара на данном предприятии. В свою очередь, потребление пара сильно меняется в зависимости от времени года (летний и зимний режимы) и от времени суток. Давление пара на выходе из котла зависит от потребностей технологии предприятия, а также от степени изношенности котлов. Так, обычные котлы широкого промышленного применения проектируются на давление пара 13 </w:t>
      </w:r>
      <w:proofErr w:type="spellStart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ати</w:t>
      </w:r>
      <w:proofErr w:type="spellEnd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(атмосфера избыточная). Для изношенных котлов, которых в настоящее время очень много, Гостехнадзор ограничивает давление всего 7-8 </w:t>
      </w:r>
      <w:proofErr w:type="spellStart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ати</w:t>
      </w:r>
      <w:proofErr w:type="spellEnd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Для нужд технологии обычно требуется 4-6 </w:t>
      </w:r>
      <w:proofErr w:type="spellStart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ати</w:t>
      </w:r>
      <w:proofErr w:type="spellEnd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для отопления требуется 1,5-2 </w:t>
      </w:r>
      <w:proofErr w:type="spellStart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ати</w:t>
      </w:r>
      <w:proofErr w:type="spellEnd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расходом пара 3-6 т/час. Таким образом, наиболее часто в котельных имеется неиспользуемый перепад давления пара 3-6 </w:t>
      </w:r>
      <w:proofErr w:type="spellStart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ати</w:t>
      </w:r>
      <w:proofErr w:type="spellEnd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расходом пара 6-50 т/ час.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 этого пара возможно реально получить 200-1500 кВт электроэнергии. Для этого необходимо пар после котла направить в расширительную машину, например, в паровую турбину, связанную с электрогенератором. Таким образом можно получить очень дешевую электроэнергию (дополнительный расход топлива и эксплуатационные расходы незначительны). Однако использование паровой турбины здесь малопродуктивно, поскольку в указанной области небольших мощностей она имеет ряд хорошо известных недостатков.</w:t>
      </w: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Наиболее привлекательными по совокупности свойств в данном диапазоне мощности являются паровые винтовые машины (ПВМ). ПВМ по своей сути является новым типом парового двигателя. ПВМ разработана в России, она уникальна, зарубежные аналоги отсутствуют. На конструкцию ПВМ, ее узлов и систем получено около 25 патентов в России и за рубежом.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диапазоне мощности 200-1500 кВт ПВМ практически по всем показателям значительно превосходит обычную лопаточную паровую турбину. ПВМ является наиболее перспективной основой для создания мини-ТЭЦ, особенно в районах Крайнего Севера и в районах к ним приравненным. Здесь ориентация на электростанции на дизельном топливе должна быть исключена в связи с многократным повышением цены топлива. В мини-ТЭЦ должны использоваться местные топливные ресурсы: уголь, торф, отходы </w:t>
      </w:r>
      <w:r w:rsidR="006033DD"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лесопереработки</w:t>
      </w: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A21129" w:rsidRPr="006033DD" w:rsidRDefault="00A21129" w:rsidP="00A21129">
      <w:pPr>
        <w:shd w:val="clear" w:color="auto" w:fill="FFFFFF"/>
        <w:spacing w:before="150" w:after="0" w:line="54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</w:pPr>
      <w:r w:rsidRPr="006033DD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lastRenderedPageBreak/>
        <w:t>Устройство и принцип действия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ПВМ является машиной объемного типа действия. В корпусе вращаются рабочие органы — винты роторов. Роторы выполнены из стали, на них нарезаны винты асимметричного профиля. Синхронизирующие шестерни, установленные на роторах, которые абсолютно исключают возможность касания профилей винтов друг с другом. Выходной вал ведущего ротора соединен с электрогенератором.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Пар высокого давления из котла поступает в ПВМ через впускное окно в корпусе с одного торца роторов. После заполнения паром канавки между зубьями происходит отсечка пара, и при дальнейшем вращении роторов в канавке (парной полости) происходит объемное расширение порции пара. В конце расширения канавка сообщается с выпускными окнами в корпусе на другом торце роторов. Отработанный пар поступает в тепловую сеть для нужд технологии или для ото</w:t>
      </w:r>
      <w:bookmarkStart w:id="0" w:name="_GoBack"/>
      <w:bookmarkEnd w:id="0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пления.</w:t>
      </w:r>
    </w:p>
    <w:p w:rsidR="00A21129" w:rsidRPr="006033DD" w:rsidRDefault="00A21129" w:rsidP="00A21129">
      <w:pPr>
        <w:shd w:val="clear" w:color="auto" w:fill="FFFFFF"/>
        <w:spacing w:before="150" w:after="0" w:line="54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</w:pPr>
      <w:r w:rsidRPr="006033DD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t>Преимущества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Основное преимущество энергоустановки с ПВМ по сравнению с имеющимися на рынке паротурбинными энергоустановками заключается в следующем: установки спроектированы практически на одно-единственное сочетание расхода и давлений пара на входе в машину и на выходе из нее. Данное сочетание условий по пару определяет мощность машины. В то же время условия по пару у разных предприятий сильно различаются, и очень наиболее часто встречающийся диапазон мощности 200-1500 кВт. Подобная вариативность значительно расширяет спектр применения ПВМ.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Можно сформулировать ряд требований к облику энергетической установки с ПВМ, чтобы она наиболее полно учитывала потребности сложившегося рынка и могла успешно конкурировать на нем. Прежде всего, необходимо оценить наиболее вероятный потенциал мощности пара в котельных и уже исходя из этого задать диапазон мощности машины. В ТАБЛ. 1 приведены наиболее часто встречающиеся у различных предприятий параметры пара: давление на впуске ПВМ, давление на выпуске, потребление (расход) пара и мощность, которую можно реально получить с помощью ПВМ.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Каждое такое сочетание режимных параметров пара определяет мощность ПВМ. Оптимальная настройка конструкции ПВМ на определенное сочетание параметров пара осуществляется за счет подбора в широком диапазоне соответствующих конструктивных параметров ПВМ при единой базовой конструкции машины, которая определяется литейными моделями корпуса. Таким образом, ПВМ способна выработать мощность в диапазоне 200-1500 кВт практически на любом предприятии, которое имеет пар с указанными в табл. 1 параметрами.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Энергоустановка с ПВМ может быть трех типов: для автономного режима, для режима параллельно сети, а также для привода исполнительных механизмов, например, водяных насосов. Стоит заметить, что при работе в параллельном режиме энергоустановка работает на сеть предприятия, покрывая часть его собственных нужд в электроэнергии и уменьшая тем самым ее потребление из сети. Обороты и частота переменного тока энергоустановки жестко привязаны к частоте сети. Мощность установки определяется перепадом давления и расходом пара через машину и регулируется дроссельным клапаном на входе в ПВМ.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ПВМ рассчитана на достаточно низкий уровень технического обслуживания, поскольку эксплуатация ее проводится исключительно персоналом самой котельной. Система автоматического управления и защиты, основанная на микропроцессорной технике, должна учитывать различный технический уровень приборного оснащения котельных, и допускает возможность работы совместно с современными АСУ ТП на базе персональных компьютеров, а также может работать автономно в котельной с морально устаревшими КИП.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Работа ПВМ в год должна составлять не менее 6500 часов из имеющихся 8760 часов, с учетом необходимого технического обслуживания оборудования котельной и перерывов в подаче пара.</w:t>
      </w:r>
    </w:p>
    <w:p w:rsidR="00A21129" w:rsidRPr="006033DD" w:rsidRDefault="00A21129" w:rsidP="00A21129">
      <w:pPr>
        <w:shd w:val="clear" w:color="auto" w:fill="FFFFFF"/>
        <w:spacing w:before="150" w:after="0" w:line="54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</w:pPr>
      <w:r w:rsidRPr="006033DD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  <w:t>Доказано практикой и экономикой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В мае 2007 года предприятием ЗАО «Эко-Энергетика» совместно с Санкт-Петербургским политехническим государственным университетом была внедрена паровая винтовая турбина с мощностью асинхронного генератора 1000 кВт в производственной котельной ОАО «НПФ «Пигмент». В настоящее время машина находится в опытно-промышленной эксплуатации в условиях реального производства. Она вышла на максимальную проектную мощность и показала свою работоспособность и эффективность.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 работе по тепловому графику выдача активной электрической мощности в сеть предприятия колебалась от 320 до 808 кВт, среднечасовая мощность составила 563,3 кВт, общая наработка — 5000 часов, стоимость выработанной электроэнергии — 0,21 </w:t>
      </w:r>
      <w:proofErr w:type="spellStart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руб</w:t>
      </w:r>
      <w:proofErr w:type="spellEnd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/кВт*ч. Расчетный срок окупаемости составляет 18 месяцев при годовой наработке 6000 часов и средней мощности 600 кВт.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Электрическая система отбора мощности энергоустановки на основе асинхронного генератора при параллельной работе с сетью показала свою высокую надежность. Выдача энергии в электрическую сеть не оказывает дестабилизирующего влияния на сеть. Претензии со стороны энергоснабжающей организации не поступали.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Замечаний к работе энергоустановки нет, машина проста в эксплуатации, оснащена многоуровневой защитой от аварийных ситуаций. Предприятия, имеющие собственные котельные, обычно очень заинтересованы в приобретении эффективного и быстро окупающегося паросилового электрогенерирующего оборудования по следующим причинам:</w:t>
      </w:r>
    </w:p>
    <w:p w:rsidR="00A21129" w:rsidRPr="00A21129" w:rsidRDefault="00A21129" w:rsidP="00A21129">
      <w:pPr>
        <w:numPr>
          <w:ilvl w:val="0"/>
          <w:numId w:val="1"/>
        </w:numPr>
        <w:shd w:val="clear" w:color="auto" w:fill="FFFFFF"/>
        <w:spacing w:before="75" w:after="75" w:line="240" w:lineRule="auto"/>
        <w:ind w:left="195"/>
        <w:rPr>
          <w:rFonts w:ascii="Arial" w:eastAsia="Times New Roman" w:hAnsi="Arial" w:cs="Arial"/>
          <w:color w:val="383838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> Высокие цены на электроэнергию обусловлены тем, что в сетевой тариф заложены дополнительные расходы на эксплуатацию и амортизацию сетей, НДС, прибыль и пр. Собственное производство электроэнергии в котельной приводит к некоторому увеличению расхода топлива, однако это окупается низкой стоимостью получаемой электроэнергии, обычно в 4-5 раз дешевле, чем из сети.</w:t>
      </w:r>
    </w:p>
    <w:p w:rsidR="00A21129" w:rsidRPr="00A21129" w:rsidRDefault="00A21129" w:rsidP="00A21129">
      <w:pPr>
        <w:numPr>
          <w:ilvl w:val="0"/>
          <w:numId w:val="1"/>
        </w:numPr>
        <w:shd w:val="clear" w:color="auto" w:fill="FFFFFF"/>
        <w:spacing w:before="75" w:after="75" w:line="240" w:lineRule="auto"/>
        <w:ind w:left="195"/>
        <w:rPr>
          <w:rFonts w:ascii="Arial" w:eastAsia="Times New Roman" w:hAnsi="Arial" w:cs="Arial"/>
          <w:color w:val="383838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 xml:space="preserve"> Вероятность отключения электроснабжения, особенно для предприятий низкой категории электроснабжения. </w:t>
      </w:r>
      <w:r w:rsidR="006033DD"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>Этот фактор — часто значит</w:t>
      </w:r>
      <w:r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 xml:space="preserve"> не меньше (а во многих случаях и больше), чем экономия на оплате электроэнергии. Так, при отключении энергии зимой котельная останавливается и размораживается, поскольку все агрегаты собственных нужд работают от электропривода. В настоящее время фактор надежности электроснабжения превалирует в большинстве регионов России.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Расчет экономической эффективности применения ПВМ в котельной показывает, что удельный расход топлива на выработанную электроэнергию составляет 140-145 </w:t>
      </w:r>
      <w:proofErr w:type="spellStart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г.у.т</w:t>
      </w:r>
      <w:proofErr w:type="spellEnd"/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./кВт*ч, а срок окупаемости энергетической установки — до полутора лет. При расчете в качестве установленной принята мощность ПВМ, равная 800 кВт. При повышении мощности эффективность ПВМ еще более повышается.</w:t>
      </w:r>
    </w:p>
    <w:p w:rsidR="00A21129" w:rsidRPr="00A21129" w:rsidRDefault="00A21129" w:rsidP="00A21129">
      <w:pPr>
        <w:shd w:val="clear" w:color="auto" w:fill="FFFFFF"/>
        <w:spacing w:before="195" w:after="19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заключение хотелось бы расставить акценты и показать, почему уже сегодня следует задуматься над тем, чем ваше предприятие будет жить завтра:</w:t>
      </w:r>
    </w:p>
    <w:p w:rsidR="00A21129" w:rsidRPr="00A21129" w:rsidRDefault="00A21129" w:rsidP="00A21129">
      <w:pPr>
        <w:numPr>
          <w:ilvl w:val="0"/>
          <w:numId w:val="2"/>
        </w:numPr>
        <w:shd w:val="clear" w:color="auto" w:fill="FFFFFF"/>
        <w:spacing w:before="75" w:after="75" w:line="240" w:lineRule="auto"/>
        <w:ind w:left="195"/>
        <w:rPr>
          <w:rFonts w:ascii="Arial" w:eastAsia="Times New Roman" w:hAnsi="Arial" w:cs="Arial"/>
          <w:color w:val="383838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>  ПВМ может эффективно применяться для производства электроэнергии в котельных при срабатывании перепада давления пара. Электроэнергия, которая произведена в собственной котельной, переоборудованной в мини-ТЭЦ, в 4-5 раз дешевле, чем покупаемая у электро-снабжающей организации. Это объясняется тем, что владелец собственной мини-ТЭЦ не оплачивает расходов на содержание энергосетей, накладных расходов, НДС и плановой прибыли;</w:t>
      </w:r>
    </w:p>
    <w:p w:rsidR="00A21129" w:rsidRPr="00A21129" w:rsidRDefault="00A21129" w:rsidP="00A21129">
      <w:pPr>
        <w:numPr>
          <w:ilvl w:val="0"/>
          <w:numId w:val="2"/>
        </w:numPr>
        <w:shd w:val="clear" w:color="auto" w:fill="FFFFFF"/>
        <w:spacing w:before="75" w:after="75" w:line="240" w:lineRule="auto"/>
        <w:ind w:left="195"/>
        <w:rPr>
          <w:rFonts w:ascii="Arial" w:eastAsia="Times New Roman" w:hAnsi="Arial" w:cs="Arial"/>
          <w:color w:val="383838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>  ПВМ как паровой двигатель в диапазоне мощности 200-1500 кВт имеет значительные технические преимущества перед паровой турбиной по эффективности, габаритам, стоимости, надежности и безопасности;</w:t>
      </w:r>
    </w:p>
    <w:p w:rsidR="00A21129" w:rsidRPr="00A21129" w:rsidRDefault="00A21129" w:rsidP="00A21129">
      <w:pPr>
        <w:numPr>
          <w:ilvl w:val="0"/>
          <w:numId w:val="2"/>
        </w:numPr>
        <w:shd w:val="clear" w:color="auto" w:fill="FFFFFF"/>
        <w:spacing w:before="75" w:after="75" w:line="240" w:lineRule="auto"/>
        <w:ind w:left="195"/>
        <w:rPr>
          <w:rFonts w:ascii="Arial" w:eastAsia="Times New Roman" w:hAnsi="Arial" w:cs="Arial"/>
          <w:color w:val="383838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>  для различных условий по пару, определяющих различную мощность ПВМ, используется единая базовая модель машины с соответствующей настройкой под индивидуальные условия предприятия;</w:t>
      </w:r>
    </w:p>
    <w:p w:rsidR="00A21129" w:rsidRPr="006033DD" w:rsidRDefault="00A21129" w:rsidP="006033DD">
      <w:pPr>
        <w:numPr>
          <w:ilvl w:val="0"/>
          <w:numId w:val="2"/>
        </w:numPr>
        <w:shd w:val="clear" w:color="auto" w:fill="FFFFFF"/>
        <w:spacing w:before="75" w:after="75" w:line="240" w:lineRule="auto"/>
        <w:ind w:left="195"/>
        <w:rPr>
          <w:rFonts w:ascii="Arial" w:eastAsia="Times New Roman" w:hAnsi="Arial" w:cs="Arial"/>
          <w:color w:val="383838"/>
          <w:sz w:val="20"/>
          <w:szCs w:val="20"/>
          <w:lang w:eastAsia="ru-RU"/>
        </w:rPr>
      </w:pPr>
      <w:r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 xml:space="preserve">  в процессе роста </w:t>
      </w:r>
      <w:r w:rsidR="006033DD"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>внутрироссийских</w:t>
      </w:r>
      <w:r w:rsidRPr="00A21129">
        <w:rPr>
          <w:rFonts w:ascii="Arial" w:eastAsia="Times New Roman" w:hAnsi="Arial" w:cs="Arial"/>
          <w:color w:val="383838"/>
          <w:sz w:val="20"/>
          <w:szCs w:val="20"/>
          <w:lang w:eastAsia="ru-RU"/>
        </w:rPr>
        <w:t xml:space="preserve"> цен на электроэнергию (0,03-0,05 USD/кВт-ч) и приближения их к мировому уровню (0,09-0,12 USD/кВт-ч) собственное производство энергии станет значительно более рентабельным.</w:t>
      </w:r>
      <w:r w:rsidRPr="00A21129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3D40C7D5" wp14:editId="0E7A3ABC">
                <wp:extent cx="304800" cy="304800"/>
                <wp:effectExtent l="0" t="0" r="0" b="0"/>
                <wp:docPr id="1" name="AutoShape 4" descr="D:\%D0%9D%D0%B0%D1%81%D0%BE%D1%81%D1%8B\Паровая винтовая машина _ Sovmash.com_files\turb_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8935DA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DbkBrUGAMAADMGAAAOAAAAAAAAAAAAAAAAAC4CAABk&#10;cnMvZTJvRG9jLnhtbFBLAQItABQABgAIAAAAIQBMoOks2AAAAAMBAAAPAAAAAAAAAAAAAAAAAHI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</w:p>
    <w:p w:rsidR="00DD0107" w:rsidRDefault="00DD0107"/>
    <w:sectPr w:rsidR="00DD0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14975"/>
    <w:multiLevelType w:val="multilevel"/>
    <w:tmpl w:val="860AA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F33E90"/>
    <w:multiLevelType w:val="multilevel"/>
    <w:tmpl w:val="C936A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129"/>
    <w:rsid w:val="006033DD"/>
    <w:rsid w:val="00A21129"/>
    <w:rsid w:val="00DD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536A7"/>
  <w15:chartTrackingRefBased/>
  <w15:docId w15:val="{C6604C06-B552-4532-93EC-A481377C3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1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6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93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27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76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&#208;&#157;&#208;&#176;&#209;&#129;&#208;&#190;&#209;&#129;&#209;&#139;\&#1055;&#1072;&#1088;&#1086;&#1074;&#1072;&#1103;%20&#1074;&#1080;&#1085;&#1090;&#1086;&#1074;&#1072;&#1103;%20&#1084;&#1072;&#1096;&#1080;&#1085;&#1072;%20_%20Sovmash.com_files\turb_.JPG" TargetMode="External"/><Relationship Id="rId5" Type="http://schemas.openxmlformats.org/officeDocument/2006/relationships/hyperlink" Target="file:///D:\%D0%9D%D0%B0%D1%81%D0%BE%D1%81%D1%8B\&#1055;&#1072;&#1088;&#1086;&#1074;&#1072;&#1103;%20&#1074;&#1080;&#1085;&#1090;&#1086;&#1074;&#1072;&#1103;%20&#1084;&#1072;&#1096;&#1080;&#1085;&#1072;%20_%20Sovmash.com_files\turb_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1661</Words>
  <Characters>9470</Characters>
  <Application>Microsoft Office Word</Application>
  <DocSecurity>0</DocSecurity>
  <Lines>78</Lines>
  <Paragraphs>22</Paragraphs>
  <ScaleCrop>false</ScaleCrop>
  <Company/>
  <LinksUpToDate>false</LinksUpToDate>
  <CharactersWithSpaces>11109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</dc:creator>
  <cp:keywords/>
  <dc:description/>
  <cp:lastModifiedBy>koste</cp:lastModifiedBy>
  <cp:revision>3</cp:revision>
  <dcterms:created xsi:type="dcterms:W3CDTF">2022-05-26T10:30:00Z</dcterms:created>
  <dcterms:modified xsi:type="dcterms:W3CDTF">2022-05-26T10:36:00Z</dcterms:modified>
</cp:coreProperties>
</file>