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:</w:t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br/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Ролико-лопастная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гидромашина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серии ГМ 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выполнена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по симметричной схеме. Внутри корпуса расположен ротор с лопастями. В корпусных деталях сделаны осевые цилиндрические отверстия, в которых установлены ролики-разделители цилиндрической формы с пазами, предназначенными для свободного пропускания лопастей. Вращение ротора синхронизировано с вращением всех роликов. Симметрично расположены каналы, предназначенные для подвода и отвода жидкости. Рабочий объем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ролико-лопастной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вычисляется простым способом по результатам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микрообмера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ее ротора:</w:t>
      </w:r>
    </w:p>
    <w:p w:rsidR="00705EBB" w:rsidRPr="00705EBB" w:rsidRDefault="00705EBB" w:rsidP="00705EBB">
      <w:pPr>
        <w:spacing w:before="100" w:beforeAutospacing="1" w:after="24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lang w:eastAsia="ru-RU"/>
        </w:rPr>
        <w:t>Vo=0,5p(Dлоп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vertAlign w:val="superscript"/>
          <w:lang w:eastAsia="ru-RU"/>
        </w:rPr>
        <w:t>2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lang w:eastAsia="ru-RU"/>
        </w:rPr>
        <w:t>-D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vertAlign w:val="superscript"/>
          <w:lang w:eastAsia="ru-RU"/>
        </w:rPr>
        <w:t>2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lang w:eastAsia="ru-RU"/>
        </w:rPr>
        <w:t>)·L, см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vertAlign w:val="superscript"/>
          <w:lang w:eastAsia="ru-RU"/>
        </w:rPr>
        <w:t>3</w:t>
      </w:r>
      <w:r w:rsidRPr="00705EBB">
        <w:rPr>
          <w:rFonts w:ascii="Verdana" w:eastAsia="Times New Roman" w:hAnsi="Verdana" w:cs="Times New Roman"/>
          <w:b/>
          <w:bCs/>
          <w:color w:val="0099FF"/>
          <w:sz w:val="24"/>
          <w:szCs w:val="24"/>
          <w:lang w:eastAsia="ru-RU"/>
        </w:rPr>
        <w:t>/об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15"/>
          <w:szCs w:val="15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где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Dло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п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диаметр по лопастям ротора;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D- диаметр перекатывания ротора;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L- аксиальная длина лопасти.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В отличие от других известных конструкций гидростатического привода: поршневых, шестеренных и других, малошумные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не имеют трущихся частей и могут работать на любых жидкостях, вплоть до морской воды (в специальном исполнении).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можно применять в широком скоростном диапазоне от 0,1 до 5000 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об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/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мин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. На базе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ролико-лопастных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создана целая гамма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гидромоторов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для транспортных средств различных отраслей промышленности. В конструкции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ролико-лопастных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предусмотрена гидравлическая разгрузка всех основных деталей, что обеспечивает высокую надежность в эксплуатации и бесшумность в работе, отсутствие вибрации. В отличие от аксиально-поршневых и шестеренчатых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, которые обычно выпускаются в трех исполнениях: для правого и левого вращения (насосный режим) и моторном исполнении,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-у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ниверсальны. Одна и та же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гидромашина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может работать в любом режиме и при любых направлениях вращения ротора. В отличие от считающейся прогрессивной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гидрореверсивной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динамической передачи, здесь реверсирование может выполняться простым переключением потока жидкости с компактного золотника плоского типа.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могут по требованию заказчика выпускаться с двумя выходными валами, что позволяет удобно компоновать привод вспомогательного оборудования тепловоза. Если применить встроенный планетарный редуктор, то можно реализовать очень высокие крутящие моменты, величина которых достигает 200 т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.м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(2 000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000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Н.м).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Применение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ролико-лопастных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со "сквозным" валом позволяет "нанизывать" два и более последовательно соединенных друг с другом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(насосов и моторов) с одинаковыми или разными рабочими объемами.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По сравнению с 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аксиально-поршневыми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трудоемкость изготовления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ролико-лопастных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в нормо-часах в 2-3 раза меньше. Более 90% деталей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ролико-лопастной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изготавливаются прогрессивным способом на станках с ЧПУ.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У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ролико-лопастные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давление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страгивания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с места в режиме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гидромотора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на холостом ходу на порядок ниже, чем у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гидромоторов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других типов (поршневых, лопастных,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героторных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 и других) и составляет величину, не превышающую 0,1 бар.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33FF00"/>
          <w:sz w:val="20"/>
          <w:lang w:eastAsia="ru-RU"/>
        </w:rPr>
        <w:lastRenderedPageBreak/>
        <w:t>Область применения этих компактных механизмов неограниченна:</w:t>
      </w:r>
      <w:r w:rsidRPr="00705EBB">
        <w:rPr>
          <w:rFonts w:ascii="Verdana" w:eastAsia="Times New Roman" w:hAnsi="Verdana" w:cs="Times New Roman"/>
          <w:b/>
          <w:bCs/>
          <w:color w:val="003399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3399"/>
          <w:sz w:val="15"/>
          <w:szCs w:val="15"/>
          <w:lang w:eastAsia="ru-RU"/>
        </w:rPr>
        <w:drawing>
          <wp:inline distT="0" distB="0" distL="0" distR="0">
            <wp:extent cx="2752725" cy="1933575"/>
            <wp:effectExtent l="19050" t="0" r="9525" b="0"/>
            <wp:docPr id="1" name="Рисунок 1" descr="http://nordix-metrologia.narod.ru/2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rdix-metrologia.narod.ru/2/1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bCs/>
          <w:noProof/>
          <w:color w:val="003399"/>
          <w:sz w:val="15"/>
          <w:szCs w:val="15"/>
          <w:lang w:eastAsia="ru-RU"/>
        </w:rPr>
        <w:drawing>
          <wp:inline distT="0" distB="0" distL="0" distR="0">
            <wp:extent cx="2771775" cy="1933575"/>
            <wp:effectExtent l="19050" t="0" r="9525" b="0"/>
            <wp:docPr id="2" name="Рисунок 2" descr="http://nordix-metrologia.narod.ru/2/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ordix-metrologia.narod.ru/2/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5EBB">
        <w:rPr>
          <w:rFonts w:ascii="Verdana" w:eastAsia="Times New Roman" w:hAnsi="Verdana" w:cs="Times New Roman"/>
          <w:b/>
          <w:bCs/>
          <w:color w:val="003399"/>
          <w:sz w:val="15"/>
          <w:szCs w:val="15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lang w:eastAsia="ru-RU"/>
        </w:rPr>
        <w:t xml:space="preserve">Транспорт: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-вертолеты (привод основного и стабилизирующего винтов);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локомотивы и привод вспомогательных агрегатов;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-тракторы;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-автомобили;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-вездеходы;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>-амфибии;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lang w:eastAsia="ru-RU"/>
        </w:rPr>
        <w:t xml:space="preserve">-движители судов и привод вспомогательных судовых агрегатов. </w:t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br/>
        <w:t xml:space="preserve">Гамма машин сельского хозяйства </w:t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br/>
        <w:t>Крановое оборудование:</w:t>
      </w:r>
      <w:proofErr w:type="gram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>-</w:t>
      </w:r>
      <w:proofErr w:type="gram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подъемники;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-лифты;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-лебедки.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>-Привод оборудования: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-станков различного назначения;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-глубоководных механизмов;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-пластмассовой и резиновой промышленности;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-буровое и горное оборудование;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-шахтные машины; привод кондиционеров и вентиляторов;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-оборудование и стенды в оборонных отраслях промышленности. 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  <w:t xml:space="preserve">Основные характеристики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гидромоторов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и гидронасосов приведены в таблице 1.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Таблица 1</w:t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br/>
      </w:r>
      <w:proofErr w:type="spellStart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Гидромоторы-насосы</w:t>
      </w:r>
      <w:proofErr w:type="spellEnd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 xml:space="preserve"> объемные нерегулируемые, изготовляемые </w:t>
      </w:r>
      <w:r w:rsidRPr="00705EBB">
        <w:rPr>
          <w:rFonts w:ascii="Verdana" w:eastAsia="Times New Roman" w:hAnsi="Verdana" w:cs="Times New Roman"/>
          <w:b/>
          <w:bCs/>
          <w:i/>
          <w:iCs/>
          <w:color w:val="0099FF"/>
          <w:sz w:val="24"/>
          <w:szCs w:val="24"/>
          <w:lang w:eastAsia="ru-RU"/>
        </w:rPr>
        <w:t>ООО НТЦ “НОРДИКС-МЕТРОЛОГИЯ”</w:t>
      </w:r>
    </w:p>
    <w:tbl>
      <w:tblPr>
        <w:tblW w:w="8595" w:type="dxa"/>
        <w:jc w:val="center"/>
        <w:tblCellSpacing w:w="7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003399"/>
        <w:tblCellMar>
          <w:left w:w="0" w:type="dxa"/>
          <w:right w:w="0" w:type="dxa"/>
        </w:tblCellMar>
        <w:tblLook w:val="04A0"/>
      </w:tblPr>
      <w:tblGrid>
        <w:gridCol w:w="1558"/>
        <w:gridCol w:w="659"/>
        <w:gridCol w:w="1252"/>
        <w:gridCol w:w="835"/>
        <w:gridCol w:w="771"/>
        <w:gridCol w:w="1102"/>
        <w:gridCol w:w="1107"/>
        <w:gridCol w:w="716"/>
        <w:gridCol w:w="595"/>
      </w:tblGrid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Типоразмеры </w:t>
            </w:r>
            <w:proofErr w:type="spellStart"/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насос-моторов</w:t>
            </w:r>
            <w:proofErr w:type="spellEnd"/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Рабо-чий</w:t>
            </w:r>
            <w:proofErr w:type="spellEnd"/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объем, см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vertAlign w:val="superscript"/>
                <w:lang w:eastAsia="ru-RU"/>
              </w:rPr>
              <w:t>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Расход/подача, дм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vertAlign w:val="superscript"/>
                <w:lang w:eastAsia="ru-RU"/>
              </w:rPr>
              <w:t>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/мин: ном/макс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Рабочее давление,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Мпа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, не выше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Тонкость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фильтра-ции</w:t>
            </w:r>
            <w:proofErr w:type="spellEnd"/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,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мкм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N привода насоса/N на валу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гидромотора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: </w:t>
            </w:r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номинальная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кВт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M крутящий на валу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гидромотора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, номинальный </w:t>
            </w:r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Кг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*м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КПД общий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Масса, </w:t>
            </w:r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кг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ГМ-1б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16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48/128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17,7/14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5,2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9,5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ГМ-32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32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96/192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35/28,8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10,3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14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ГМ-56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56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168/280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20/25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60,8/51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18,1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0,92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22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ГМ-112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112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224/336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81/68,7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36,3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0,92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31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ГМ-160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160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320/480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113/100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52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0,94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38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ГМ-250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250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500/750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177/156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81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0,94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56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ГМ-400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400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800/1200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283/250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130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0,94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70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1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ГМ-1200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1200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2400/3600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20/25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</w:t>
            </w:r>
          </w:p>
        </w:tc>
        <w:tc>
          <w:tcPr>
            <w:tcW w:w="10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851/752 </w:t>
            </w:r>
          </w:p>
        </w:tc>
        <w:tc>
          <w:tcPr>
            <w:tcW w:w="7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389 </w:t>
            </w:r>
          </w:p>
        </w:tc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0,95 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98 </w:t>
            </w:r>
          </w:p>
        </w:tc>
      </w:tr>
    </w:tbl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 </w:t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  </w:t>
      </w:r>
    </w:p>
    <w:p w:rsidR="00705EBB" w:rsidRPr="00705EBB" w:rsidRDefault="00705EBB" w:rsidP="00705EBB">
      <w:pPr>
        <w:spacing w:after="24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lastRenderedPageBreak/>
        <w:t xml:space="preserve">Сравнительные данные различных типов </w:t>
      </w:r>
      <w:proofErr w:type="spellStart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t xml:space="preserve"> представлены в табл.2 и 3.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Таблица 2</w:t>
      </w:r>
      <w:r w:rsidRPr="00705EBB">
        <w:rPr>
          <w:rFonts w:ascii="Verdana" w:eastAsia="Times New Roman" w:hAnsi="Verdana" w:cs="Times New Roman"/>
          <w:color w:val="33FF00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 xml:space="preserve">Сравнительные характеристики </w:t>
      </w:r>
      <w:proofErr w:type="gramStart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нерегулируемых</w:t>
      </w:r>
      <w:proofErr w:type="gramEnd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гидромоторов</w:t>
      </w:r>
      <w:proofErr w:type="spellEnd"/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 xml:space="preserve">. </w:t>
      </w:r>
    </w:p>
    <w:tbl>
      <w:tblPr>
        <w:tblW w:w="8610" w:type="dxa"/>
        <w:jc w:val="center"/>
        <w:tblCellSpacing w:w="7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003399"/>
        <w:tblCellMar>
          <w:left w:w="0" w:type="dxa"/>
          <w:right w:w="0" w:type="dxa"/>
        </w:tblCellMar>
        <w:tblLook w:val="04A0"/>
      </w:tblPr>
      <w:tblGrid>
        <w:gridCol w:w="2314"/>
        <w:gridCol w:w="1538"/>
        <w:gridCol w:w="1261"/>
        <w:gridCol w:w="1015"/>
        <w:gridCol w:w="1122"/>
        <w:gridCol w:w="1360"/>
      </w:tblGrid>
      <w:tr w:rsidR="00705EBB" w:rsidRPr="00705EBB" w:rsidTr="00705EBB">
        <w:trPr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Тип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гидромотора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Рабочее давление </w:t>
            </w:r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, МПа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Объемный КПД </w:t>
            </w:r>
            <w:r w:rsidRPr="00705EBB">
              <w:rPr>
                <w:rFonts w:ascii="Times New Roman" w:eastAsia="Times New Roman" w:hAnsi="Times New Roman" w:cs="Times New Roman"/>
                <w:color w:val="003399"/>
                <w:sz w:val="15"/>
                <w:szCs w:val="15"/>
                <w:lang w:eastAsia="ru-RU"/>
              </w:rPr>
              <w:sym w:font="Symbol" w:char="0068"/>
            </w:r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vertAlign w:val="subscript"/>
                <w:lang w:eastAsia="ru-RU"/>
              </w:rPr>
              <w:t>0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lang w:eastAsia="ru-RU"/>
              </w:rPr>
              <w:t>Общий КПД</w:t>
            </w:r>
            <w:r w:rsidRPr="00705EBB">
              <w:rPr>
                <w:rFonts w:ascii="Times New Roman" w:eastAsia="Times New Roman" w:hAnsi="Times New Roman" w:cs="Times New Roman"/>
                <w:color w:val="003399"/>
                <w:sz w:val="15"/>
                <w:szCs w:val="15"/>
                <w:lang w:eastAsia="ru-RU"/>
              </w:rPr>
              <w:sym w:font="Symbol" w:char="0068"/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Крутящий момент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Мкр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, Н·м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Масса на ед. мощности М/N, кг/кВт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Шестеренный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10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0,75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50-70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0,5-0,7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Лопастной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5-10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0,75 - 0,97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0,5 - 0,91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20 - 18000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2 - 6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Аксиально-поршневой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5 - 16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0,95 - 0,98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0,8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4 - 1170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0,5 - 2 </w:t>
            </w:r>
          </w:p>
        </w:tc>
      </w:tr>
      <w:tr w:rsidR="00705EBB" w:rsidRPr="00705EBB" w:rsidTr="00705EBB">
        <w:trPr>
          <w:trHeight w:val="270"/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Радиально-поршневой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10 - 16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0,91 - 0,98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0,8 - 0,94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249 - 35700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4 - 34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Ролико-лопастной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-2-х роликовый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-4-х роликовый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-6-и роликовый </w:t>
            </w:r>
          </w:p>
        </w:tc>
        <w:tc>
          <w:tcPr>
            <w:tcW w:w="14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20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20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28 </w:t>
            </w:r>
          </w:p>
        </w:tc>
        <w:tc>
          <w:tcPr>
            <w:tcW w:w="12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0,95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0,95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0,97 </w:t>
            </w:r>
          </w:p>
        </w:tc>
        <w:tc>
          <w:tcPr>
            <w:tcW w:w="9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0,95 </w:t>
            </w:r>
          </w:p>
        </w:tc>
        <w:tc>
          <w:tcPr>
            <w:tcW w:w="10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160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200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6000 </w:t>
            </w:r>
          </w:p>
        </w:tc>
        <w:tc>
          <w:tcPr>
            <w:tcW w:w="13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0,1-0,3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0,1-0,3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0,1-0,3 </w:t>
            </w:r>
          </w:p>
        </w:tc>
      </w:tr>
    </w:tbl>
    <w:p w:rsidR="00705EBB" w:rsidRPr="00705EBB" w:rsidRDefault="00705EBB" w:rsidP="00705EBB">
      <w:pPr>
        <w:spacing w:after="24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003399"/>
          <w:sz w:val="15"/>
          <w:szCs w:val="15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t>Таблица 3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</w:t>
      </w:r>
      <w:r w:rsidRPr="00705EBB">
        <w:rPr>
          <w:rFonts w:ascii="Verdana" w:eastAsia="Times New Roman" w:hAnsi="Verdana" w:cs="Times New Roman"/>
          <w:b/>
          <w:bCs/>
          <w:color w:val="33FF00"/>
          <w:sz w:val="20"/>
          <w:szCs w:val="20"/>
          <w:lang w:eastAsia="ru-RU"/>
        </w:rPr>
        <w:br/>
        <w:t xml:space="preserve">Сравнительные характеристики нерегулируемых гидронасосов. </w:t>
      </w:r>
    </w:p>
    <w:tbl>
      <w:tblPr>
        <w:tblW w:w="8610" w:type="dxa"/>
        <w:jc w:val="center"/>
        <w:tblCellSpacing w:w="7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003399"/>
        <w:tblCellMar>
          <w:left w:w="0" w:type="dxa"/>
          <w:right w:w="0" w:type="dxa"/>
        </w:tblCellMar>
        <w:tblLook w:val="04A0"/>
      </w:tblPr>
      <w:tblGrid>
        <w:gridCol w:w="2284"/>
        <w:gridCol w:w="1245"/>
        <w:gridCol w:w="1276"/>
        <w:gridCol w:w="1230"/>
        <w:gridCol w:w="1430"/>
        <w:gridCol w:w="1145"/>
      </w:tblGrid>
      <w:tr w:rsidR="00705EBB" w:rsidRPr="00705EBB" w:rsidTr="00705EBB">
        <w:trPr>
          <w:trHeight w:val="870"/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Тип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гидромотора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Рабочее давление </w:t>
            </w:r>
            <w:proofErr w:type="spellStart"/>
            <w:proofErr w:type="gram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max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, МПа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Рабочий расход Q,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vertAlign w:val="superscript"/>
                <w:lang w:eastAsia="ru-RU"/>
              </w:rPr>
              <w:t>дм3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/мин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lang w:eastAsia="ru-RU"/>
              </w:rPr>
              <w:t>Обьемный</w:t>
            </w:r>
            <w:proofErr w:type="spellEnd"/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lang w:eastAsia="ru-RU"/>
              </w:rPr>
              <w:t xml:space="preserve"> </w:t>
            </w:r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lang w:eastAsia="ru-RU"/>
              </w:rPr>
              <w:br/>
              <w:t>КПД</w:t>
            </w:r>
            <w:r w:rsidRPr="00705EBB">
              <w:rPr>
                <w:rFonts w:ascii="Times New Roman" w:eastAsia="Times New Roman" w:hAnsi="Times New Roman" w:cs="Times New Roman"/>
                <w:color w:val="003399"/>
                <w:sz w:val="15"/>
                <w:szCs w:val="15"/>
                <w:lang w:eastAsia="ru-RU"/>
              </w:rPr>
              <w:sym w:font="Symbol" w:char="0030"/>
            </w:r>
            <w:r w:rsidRPr="00705EBB">
              <w:rPr>
                <w:rFonts w:ascii="Times New Roman" w:eastAsia="Times New Roman" w:hAnsi="Times New Roman" w:cs="Times New Roman"/>
                <w:color w:val="003399"/>
                <w:sz w:val="15"/>
                <w:szCs w:val="15"/>
                <w:lang w:eastAsia="ru-RU"/>
              </w:rPr>
              <w:sym w:font="Symbol" w:char="0068"/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Times New Roman" w:eastAsia="Times New Roman" w:hAnsi="Times New Roman" w:cs="Arial"/>
                <w:color w:val="003399"/>
                <w:sz w:val="15"/>
                <w:szCs w:val="15"/>
                <w:lang w:eastAsia="ru-RU"/>
              </w:rPr>
              <w:t>Общий КПД</w:t>
            </w:r>
            <w:r w:rsidRPr="00705EBB">
              <w:rPr>
                <w:rFonts w:ascii="Times New Roman" w:eastAsia="Times New Roman" w:hAnsi="Times New Roman" w:cs="Times New Roman"/>
                <w:color w:val="003399"/>
                <w:sz w:val="15"/>
                <w:szCs w:val="15"/>
                <w:lang w:eastAsia="ru-RU"/>
              </w:rPr>
              <w:sym w:font="Symbol" w:char="0068"/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Масса на ед. мощности М/N, кг/кВт </w:t>
            </w:r>
          </w:p>
        </w:tc>
      </w:tr>
      <w:tr w:rsidR="00705EBB" w:rsidRPr="00705EBB" w:rsidTr="00705EBB">
        <w:trPr>
          <w:trHeight w:val="525"/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Шестеренный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12 - 14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5 - 125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0,7 - 0,9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0,25 - 0,7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0,6 - 0,7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Лопастной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12 -14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3 - 200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0,6 - 0,9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0,55 - 0,75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1,25 - 4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Аксиально-поршневой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20 - 30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50 - 400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0,7 - 0,9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0,67 - 0,85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10 - 19,5 </w:t>
            </w:r>
          </w:p>
        </w:tc>
      </w:tr>
      <w:tr w:rsidR="00705EBB" w:rsidRPr="00705EBB" w:rsidTr="00705EBB">
        <w:trPr>
          <w:trHeight w:val="270"/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Радиально-поршневой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20 - 30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9 - 775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0,95 - 0,98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0,8 - 0,9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3,3 - 7 </w:t>
            </w:r>
          </w:p>
        </w:tc>
      </w:tr>
      <w:tr w:rsidR="00705EBB" w:rsidRPr="00705EBB" w:rsidTr="00705EBB">
        <w:trPr>
          <w:trHeight w:val="270"/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Эксцентриково-поршневой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50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3 - 35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0,75 - 0,9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0,68 - 0,76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2,7 - 8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220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Ролико-лопастной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-2-х роликовый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-4-х роликовый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-6-и роликовый </w:t>
            </w:r>
          </w:p>
        </w:tc>
        <w:tc>
          <w:tcPr>
            <w:tcW w:w="1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20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20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28 </w:t>
            </w:r>
          </w:p>
        </w:tc>
        <w:tc>
          <w:tcPr>
            <w:tcW w:w="123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100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120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400 </w: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0,94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0,94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0,96 </w:t>
            </w:r>
          </w:p>
        </w:tc>
        <w:tc>
          <w:tcPr>
            <w:tcW w:w="138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0,92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0,92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0,94 </w:t>
            </w:r>
          </w:p>
        </w:tc>
        <w:tc>
          <w:tcPr>
            <w:tcW w:w="10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>0,1 - 0,3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0,1 - 0,3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0,1 - 0,3 </w:t>
            </w:r>
          </w:p>
        </w:tc>
      </w:tr>
    </w:tbl>
    <w:p w:rsidR="00705EBB" w:rsidRPr="00705EBB" w:rsidRDefault="00705EBB" w:rsidP="00705EBB">
      <w:pPr>
        <w:spacing w:after="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24"/>
          <w:szCs w:val="24"/>
          <w:lang w:eastAsia="ru-RU"/>
        </w:rPr>
        <w:br/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Гидрообъемный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 вариатор.</w:t>
      </w: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br/>
      </w: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br/>
      </w:r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 xml:space="preserve">Разработан также </w:t>
      </w:r>
      <w:proofErr w:type="spellStart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>ролико-лопастной</w:t>
      </w:r>
      <w:proofErr w:type="spellEnd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>гидрообъемный</w:t>
      </w:r>
      <w:proofErr w:type="spellEnd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 xml:space="preserve"> вариатор (</w:t>
      </w:r>
      <w:proofErr w:type="spellStart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>гидрообъемный</w:t>
      </w:r>
      <w:proofErr w:type="spellEnd"/>
      <w:r w:rsidRPr="00705EBB">
        <w:rPr>
          <w:rFonts w:ascii="Verdana" w:eastAsia="Times New Roman" w:hAnsi="Verdana" w:cs="Times New Roman"/>
          <w:color w:val="0099FF"/>
          <w:sz w:val="17"/>
          <w:szCs w:val="17"/>
          <w:lang w:eastAsia="ru-RU"/>
        </w:rPr>
        <w:t xml:space="preserve"> гидротрансформатор), конкурентоспособный с аналогичными устройствами ведущих западных фирм.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Универсальный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ролико-лопастной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гидравлический привод предназначен для бесступенчатого регулирования частоты вращения приводов трансмиссий как мобильных, так и стационарных машин различного назначения, транспортеров, приводов лебедок, вариаторов транспортных передач и др. Привод имеет плавно изменяющееся передаточное число от 1 до 200, заменяя в существующих трансмиссиях транспортных средств коробку перемены передач и муфту сцепления, обеспечивая необходимое отсоединение двигателя от движителя. 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Вариатор типа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предназначен для автомобильной трансмиссии нового поколения, созданной на базе выпускаемых и эксплуатируемых в различных отраслях промышленности гидравлических моторов и насосов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ролико-лопастного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(камерного) типа, мощностью от 0,5 до 700 кВт. Их конструкция защищена многими авторскими свидетельствами СССР, патентами России, США, Германии, Австрии, Японии и других стран мира.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Возможность производства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опирается на уже имеющийся опыт производства подобных машин и расходомеров на ряде предприятий страны (ЗАО «МЦ-ВОСТОК» и ЗАО НПП "Импульс" (г. Химки, Московской области);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Ковровским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электромеханическом заводе (г. Ковров, Владимирской области); Экспериментальном заводе научного приборостроения (пос. Черноголовка, Московской области) и др.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Целесообразно применение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на транспортных средствах, требующих полную автоматизацию управления трансмиссией. Управление всей трансмиссией объединяется и выполняется одним органом (рукояткой или педалью). Микропроцессор согласовывает режимы работы силовой установки и трансмиссии автомобиля. При этом обеспечивается минимальный расход топлива на 100 км пути.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lastRenderedPageBreak/>
        <w:t xml:space="preserve">Применение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на автомобилях позволяет реализовать бесступенчатое оптимальное использование нагрузочных характеристик двигателя и легко поддерживать баланс мощности при изменении условий движения. Двигатель с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будет работать устойчивее с более высокими параметрами приспособляемости и приемистости. Среднеэксплуатационная топливная экономичность повысится на 7-30%, а содержание токсических компонентов на основных скоростных режимах работы двигателя снизится на 20-25%.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Сопоставление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с существующей широко распространенной механической трансмиссией и механическим вариатором представлено в сравнительной таблице.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Можно ожидать, что создание автомобиля с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ГОТр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в сочетании с рядом других улучшений его узлов и агрегатов позволит получить принципиально новую модель с улучшенными основными характеристиками при примерно том же уровне цены.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Ниже представлены некоторые недостатки механической трансмиссии и механических вариаторов.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- узкий диапазон передаточного числа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i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. Трудность получения больших передаточных чисел (iі10:1);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дискретная разгонная характеристика с разрывами силы тяги;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- худшая приемистость первичного двигателя с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нагружением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через коробку перемены передач;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невозможность длительной работы на малых "ползучих" скоростях движения;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требование обязательного применения муфты сцепления и сложность управления;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необходимость в дополнительном механизме заднего хода;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низкая долговечность (наличие многих узлов трения, требующих качественной смазки);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низкий КПД трансмиссии;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- отсутствие устрой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ств дл</w:t>
      </w:r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я предохранения от перегрузок.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Преимущества </w:t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гидрообъемного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 вариатора </w:t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ГОТр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: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передача обладает высоким моментом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страгивания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на стоповом режиме (практически равном 100% от 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теоретического</w:t>
      </w:r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);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малая удельная металлоемкость (порядка 0,3 к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г/кВт пр</w:t>
      </w:r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отив существующих аксиально-поршневых передач с металлоемкостью в 1 кг/кВт);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отсутствие в схеме узлов трения "металл - по металлу" и гидравлическая разгрузка всех основных деталей обеспечивает высокую надежность в эксплуатации и бесшумность в работе. В среднем долговечность возрастает более чем в 10 раз;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работа по закрытой схеме питания на небольшом (порядка 1-3 литра) количестве минерального масла не требует отдельной системы охлаждения, так как КПД вариатора достигает величины »97%;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по сравнению с аксиально-поршневыми гидравлическими машинами трудоемкость изготовления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ролико-лопастного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гидровариатора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в 2 - 3 раза меньше. 90% деталей вариатора могут быть изготовлены на станках с ЧПУ; 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>·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возможность применения принципов подобия для получения типоразмеров с любыми необходимыми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мощностными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и скоростными параметрами;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ru-RU"/>
        </w:rPr>
        <w:t xml:space="preserve">· 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универсальность, технологичность, простота конструкции, компактность, низкая стоимость изготовления.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Сравнительная таблица существующих серийных механических трансмиссий для автомобилей и трансмиссии нового поколения.</w:t>
      </w:r>
    </w:p>
    <w:tbl>
      <w:tblPr>
        <w:tblW w:w="8700" w:type="dxa"/>
        <w:jc w:val="center"/>
        <w:tblCellSpacing w:w="7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003399"/>
        <w:tblCellMar>
          <w:left w:w="0" w:type="dxa"/>
          <w:right w:w="0" w:type="dxa"/>
        </w:tblCellMar>
        <w:tblLook w:val="04A0"/>
      </w:tblPr>
      <w:tblGrid>
        <w:gridCol w:w="1133"/>
        <w:gridCol w:w="1603"/>
        <w:gridCol w:w="1236"/>
        <w:gridCol w:w="1172"/>
        <w:gridCol w:w="1677"/>
        <w:gridCol w:w="1879"/>
      </w:tblGrid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lastRenderedPageBreak/>
              <w:t xml:space="preserve">Параметры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Существующая механическая </w:t>
            </w: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br/>
              <w:t xml:space="preserve">трансмиссия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Механический вариатор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Гидростатическая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ролико-лопастная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трансмиссия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99CC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proofErr w:type="spellStart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>Гидрообъемный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3399"/>
                <w:sz w:val="15"/>
                <w:szCs w:val="15"/>
                <w:lang w:eastAsia="ru-RU"/>
              </w:rPr>
              <w:t xml:space="preserve"> вариатор (гидротрансформатор)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Передаточное число,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i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от 6:1 до 1:1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от 6:1 до 1:1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от 200:1 до 1:1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от бесконечности до 1:1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Наличие муфты сцепления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есть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есть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Наличие карданной передачи в трансмиссии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есть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есть</w:t>
            </w:r>
            <w:r w:rsidRPr="00705EBB"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</w:tr>
      <w:tr w:rsidR="00705EBB" w:rsidRPr="00705EBB" w:rsidTr="00705EBB">
        <w:trPr>
          <w:trHeight w:val="195"/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Наличие механизма заднего хода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Общий КПД трансмиссии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» 0,90~0,95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» 0,80~0,93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» 0,94~0,97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» 0,94~0,97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Особенности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трогания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 автомобиля с места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Работа с педалями сцепления и газа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Работа с педалями сцепления и газа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Возможность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трогания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 даже на холостом ходу двигателя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Возможность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трогания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 даже на холостом ходу двигателя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Характер разгонных характеристик (приемистость)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разрывы силы тяги при переключении скоростей и просадка оборотов двигателя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разрывы силы тяги и просадка оборотов двигателя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разрыва силы тяги во всем скоростном диапазоне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разрыва силы тяги во всем скоростном диапазоне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Особенности движения автомобиля на малых (ползучих) скоростях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Ограничение по времени по причине перегрева двигателя и надежности узла сцепления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Ограничение по времени по причине перегрева двигателя и надежности узла сцепления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Движение с любыми скоростями в пределах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i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, удобное управление при движении в городских пробках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Реализация любых скоростей в пределах </w:t>
            </w:r>
            <w:proofErr w:type="spell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i</w:t>
            </w:r>
            <w:proofErr w:type="spell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, удобное управление при движении в городских пробках </w:t>
            </w:r>
          </w:p>
        </w:tc>
      </w:tr>
      <w:tr w:rsidR="00705EBB" w:rsidRPr="00705EBB" w:rsidTr="00705EBB">
        <w:trPr>
          <w:trHeight w:val="300"/>
          <w:tblCellSpacing w:w="7" w:type="dxa"/>
          <w:jc w:val="center"/>
        </w:trPr>
        <w:tc>
          <w:tcPr>
            <w:tcW w:w="1110" w:type="dxa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Торможение </w:t>
            </w:r>
          </w:p>
        </w:tc>
        <w:tc>
          <w:tcPr>
            <w:tcW w:w="159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двигателем </w:t>
            </w:r>
          </w:p>
        </w:tc>
        <w:tc>
          <w:tcPr>
            <w:tcW w:w="0" w:type="auto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Возможно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3399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</w:p>
        </w:tc>
        <w:tc>
          <w:tcPr>
            <w:tcW w:w="159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колодочное фрикционное </w:t>
            </w:r>
          </w:p>
        </w:tc>
        <w:tc>
          <w:tcPr>
            <w:tcW w:w="0" w:type="auto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Возможно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3399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</w:p>
        </w:tc>
        <w:tc>
          <w:tcPr>
            <w:tcW w:w="159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гидростатическое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нет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нет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есть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Количество заливаемого в трансмиссию масла, </w:t>
            </w:r>
            <w:proofErr w:type="gramStart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>л</w:t>
            </w:r>
            <w:proofErr w:type="gramEnd"/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3~4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нет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2~3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1,5~2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Требование охлаждения вариатора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-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есть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-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-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Наличие экономии топлива при неблагоприятных городских условиях эксплуатации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Экономии топлива нет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Экономия топлива » 4%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Экономия топлива » 30%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Экономия топлива свыше 50% </w:t>
            </w:r>
          </w:p>
        </w:tc>
      </w:tr>
      <w:tr w:rsidR="00705EBB" w:rsidRPr="00705EBB" w:rsidTr="00705EBB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Возможность применения автоматизированных систем управления автомобилем </w:t>
            </w:r>
          </w:p>
        </w:tc>
        <w:tc>
          <w:tcPr>
            <w:tcW w:w="127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Осуществить сложно </w:t>
            </w:r>
          </w:p>
        </w:tc>
        <w:tc>
          <w:tcPr>
            <w:tcW w:w="11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Осуществить сложно </w:t>
            </w:r>
          </w:p>
        </w:tc>
        <w:tc>
          <w:tcPr>
            <w:tcW w:w="166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Имеется возможность микропроцессорного управления </w:t>
            </w:r>
          </w:p>
        </w:tc>
        <w:tc>
          <w:tcPr>
            <w:tcW w:w="253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CF5FF"/>
            <w:vAlign w:val="center"/>
            <w:hideMark/>
          </w:tcPr>
          <w:p w:rsidR="00705EBB" w:rsidRPr="00705EBB" w:rsidRDefault="00705EBB" w:rsidP="00705EB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17"/>
                <w:szCs w:val="17"/>
                <w:lang w:eastAsia="ru-RU"/>
              </w:rPr>
            </w:pPr>
            <w:r w:rsidRPr="00705EBB">
              <w:rPr>
                <w:rFonts w:ascii="Verdana" w:eastAsia="Times New Roman" w:hAnsi="Verdana" w:cs="Times New Roman"/>
                <w:color w:val="006699"/>
                <w:sz w:val="15"/>
                <w:szCs w:val="15"/>
                <w:lang w:eastAsia="ru-RU"/>
              </w:rPr>
              <w:t xml:space="preserve">Имеется возможность микропроцессорного управления </w:t>
            </w:r>
          </w:p>
        </w:tc>
      </w:tr>
    </w:tbl>
    <w:p w:rsidR="00705EBB" w:rsidRPr="00705EBB" w:rsidRDefault="00705EBB" w:rsidP="00705EBB">
      <w:pPr>
        <w:spacing w:after="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Область внедрения </w:t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ролико-лопастных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 </w:t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>гидромашин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t xml:space="preserve"> в промышленности</w:t>
      </w:r>
      <w:r w:rsidRPr="00705EBB">
        <w:rPr>
          <w:rFonts w:ascii="Arial" w:eastAsia="Times New Roman" w:hAnsi="Arial" w:cs="Arial"/>
          <w:b/>
          <w:bCs/>
          <w:color w:val="0099FF"/>
          <w:sz w:val="20"/>
          <w:szCs w:val="20"/>
          <w:lang w:eastAsia="ru-RU"/>
        </w:rPr>
        <w:br/>
        <w:t>(по состоянию на 2000 г).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В 1973 г. РЛГ были сданы Госкомиссии бывшего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Минстанкопрома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СССР на рабочее давление 100 бар и максимальное – 140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бар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.В</w:t>
      </w:r>
      <w:proofErr w:type="spellEnd"/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1974 г.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Людиновским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заводом поставлены промышленности гамма РЛГ серии ГМ (ГМ-16; ГМ-32; ГМ-80; ГМ-125) в количестве 90 </w:t>
      </w:r>
      <w:proofErr w:type="spellStart"/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шт</w:t>
      </w:r>
      <w:proofErr w:type="spellEnd"/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для приводов станков с ЧПУ, роботов и других агрегатов (Савеловскому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машзаводу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,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НИАТу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, Ташкентскому авиазаводу,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п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/я А-7291, станкозаводу им. Орджоникидзе, ЛОЗГ г. Ленинград), которая успешно отработала в промышленности более 8-и лет.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Гидромоторы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типа ГМ-80, ГМ-125 были использованы в электроприводах силовых органов робота, разработанного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ОРГСТАНКИНПРОМа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и изготовленных Дмитровским заводом Московской обл.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Следящие серводвигатели, выполненные на базе РЛГ типа ГМ-80, изготовленные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ЛАЗом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(г. Людиново, Калужской обл.) для ковочных машин типа РКМ, собранные на Рязанском станкозаводе, успешно заменили вышедшие из строя на </w:t>
      </w:r>
      <w:proofErr w:type="spellStart"/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п</w:t>
      </w:r>
      <w:proofErr w:type="spellEnd"/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/я Г-4086 (г. Ижевск) ненадежные импортные сервоприводы.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За период с 1973 по 1999 гг. за счет конструктивных и технологических усовершенствований уровень рабочего давления отечественных РЛГ был повышен со 100 до 210 бар, при 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максимальном</w:t>
      </w:r>
      <w:proofErr w:type="gram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допустимом – 280 бар, даже на маслах малой вязкости типа ВМГ-3, АМГ-10 и МГЕ-10. 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Так изготовленные по нашим чертежам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типа ГМ-32, ГМ-80 и ГМ-125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Ковровским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экспериментальным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машзаводом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(1994 г.) и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ГосНИИАС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(1980 г.) успешно работают в составе специальных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высокодинамичных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моделирующих установках (приводы курса и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тангажа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) в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ГосНИИАС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, а на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гидромашинах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РЛГ-1 и ГМ-16 достигнута максимальная частота вращения соответственно 30 000 и 11 000 мин-1.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lastRenderedPageBreak/>
        <w:t xml:space="preserve">Одна из отечественных моделирующих установок с 3-мя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гидромоторами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ГМ-32 (приводы курса и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тангажа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), поставленная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Росвооружением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России в одну из зарубежных стран мира, в настоящее время успешно эксплуатируется при давлении около 210 бар в комплекте с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сервоклапаном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6Ц225 МКБ «Родина» на маловязком масле АМГ-10. При этом обеспечивается рабочий диапазон частот вращения более чем 2000:1.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gram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17 гидронасосов типа ГМ-16, изготовленные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Ковровским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экспериментальным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машзаводом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, в течение трех лет надежно работают в тяжелых условиях (высокая запыленность, плохая фильтрация рабочей жидкости, высокие температуры) на ЗАО «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Ковровский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 завод силикатного кирпича».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lang w:eastAsia="ru-RU"/>
        </w:rPr>
        <w:t xml:space="preserve">Имеется ограниченный опыт работы </w:t>
      </w:r>
      <w:proofErr w:type="spellStart"/>
      <w:r w:rsidRPr="00705EBB">
        <w:rPr>
          <w:rFonts w:ascii="Verdana" w:eastAsia="Times New Roman" w:hAnsi="Verdana" w:cs="Times New Roman"/>
          <w:color w:val="FFFFFF"/>
          <w:sz w:val="17"/>
          <w:lang w:eastAsia="ru-RU"/>
        </w:rPr>
        <w:t>гидромашин</w:t>
      </w:r>
      <w:proofErr w:type="spellEnd"/>
      <w:r w:rsidRPr="00705EBB">
        <w:rPr>
          <w:rFonts w:ascii="Verdana" w:eastAsia="Times New Roman" w:hAnsi="Verdana" w:cs="Times New Roman"/>
          <w:color w:val="FFFFFF"/>
          <w:sz w:val="17"/>
          <w:lang w:eastAsia="ru-RU"/>
        </w:rPr>
        <w:t xml:space="preserve"> типа РЛГ-1 на морской воде</w:t>
      </w:r>
      <w:proofErr w:type="gramStart"/>
      <w:r w:rsidRPr="00705EBB">
        <w:rPr>
          <w:rFonts w:ascii="Verdana" w:eastAsia="Times New Roman" w:hAnsi="Verdana" w:cs="Times New Roman"/>
          <w:color w:val="FFFFFF"/>
          <w:sz w:val="17"/>
          <w:lang w:eastAsia="ru-RU"/>
        </w:rPr>
        <w:t>.</w:t>
      </w: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 xml:space="preserve">. </w:t>
      </w:r>
      <w:proofErr w:type="gramEnd"/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Arial" w:eastAsia="Times New Roman" w:hAnsi="Arial" w:cs="Arial"/>
          <w:b/>
          <w:bCs/>
          <w:color w:val="0099FF"/>
          <w:sz w:val="17"/>
          <w:szCs w:val="17"/>
          <w:lang w:eastAsia="ru-RU"/>
        </w:rPr>
        <w:t xml:space="preserve">Зависимость относительного крутящего момента на валу </w:t>
      </w:r>
      <w:proofErr w:type="spellStart"/>
      <w:r w:rsidRPr="00705EBB">
        <w:rPr>
          <w:rFonts w:ascii="Arial" w:eastAsia="Times New Roman" w:hAnsi="Arial" w:cs="Arial"/>
          <w:b/>
          <w:bCs/>
          <w:color w:val="0099FF"/>
          <w:sz w:val="17"/>
          <w:szCs w:val="17"/>
          <w:lang w:eastAsia="ru-RU"/>
        </w:rPr>
        <w:t>гидромоторов</w:t>
      </w:r>
      <w:proofErr w:type="spellEnd"/>
      <w:r w:rsidRPr="00705EBB">
        <w:rPr>
          <w:rFonts w:ascii="Arial" w:eastAsia="Times New Roman" w:hAnsi="Arial" w:cs="Arial"/>
          <w:b/>
          <w:bCs/>
          <w:color w:val="0099FF"/>
          <w:sz w:val="17"/>
          <w:szCs w:val="17"/>
          <w:lang w:eastAsia="ru-RU"/>
        </w:rPr>
        <w:t xml:space="preserve"> при номинальном перепаде давления от частоты вращения ротора.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noProof/>
          <w:color w:val="FFFFFF"/>
          <w:sz w:val="17"/>
          <w:szCs w:val="17"/>
          <w:lang w:eastAsia="ru-RU"/>
        </w:rPr>
        <w:drawing>
          <wp:inline distT="0" distB="0" distL="0" distR="0">
            <wp:extent cx="3905250" cy="2705100"/>
            <wp:effectExtent l="19050" t="0" r="0" b="0"/>
            <wp:docPr id="3" name="Рисунок 3" descr="http://nordix-metrologia.narod.ru/2/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ordix-metrologia.narod.ru/2/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>Гидромашина</w:t>
      </w:r>
      <w:proofErr w:type="spell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 ГМ 112.0.0.0</w:t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99FF"/>
          <w:sz w:val="17"/>
          <w:szCs w:val="17"/>
          <w:lang w:eastAsia="ru-RU"/>
        </w:rPr>
        <w:drawing>
          <wp:inline distT="0" distB="0" distL="0" distR="0">
            <wp:extent cx="4572000" cy="3429000"/>
            <wp:effectExtent l="19050" t="0" r="0" b="0"/>
            <wp:docPr id="4" name="Рисунок 4" descr="http://nordix-metrologia.narod.ru/2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ordix-metrologia.narod.ru/2/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lastRenderedPageBreak/>
        <w:t>Гидромашина</w:t>
      </w:r>
      <w:proofErr w:type="spell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 ГМ 16.1.0.0</w:t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99FF"/>
          <w:sz w:val="17"/>
          <w:szCs w:val="17"/>
          <w:lang w:eastAsia="ru-RU"/>
        </w:rPr>
        <w:drawing>
          <wp:inline distT="0" distB="0" distL="0" distR="0">
            <wp:extent cx="4572000" cy="3429000"/>
            <wp:effectExtent l="19050" t="0" r="0" b="0"/>
            <wp:docPr id="5" name="Рисунок 5" descr="http://nordix-metrologia.narod.ru/2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ordix-metrologia.narod.ru/2/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240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>Габаритные и присоединительные размеры</w:t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>Гидромашина</w:t>
      </w:r>
      <w:proofErr w:type="spell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 ГМ 112.0.0.0</w:t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99FF"/>
          <w:sz w:val="17"/>
          <w:szCs w:val="17"/>
          <w:lang w:eastAsia="ru-RU"/>
        </w:rPr>
        <w:drawing>
          <wp:inline distT="0" distB="0" distL="0" distR="0">
            <wp:extent cx="4953000" cy="2257425"/>
            <wp:effectExtent l="19050" t="0" r="0" b="0"/>
            <wp:docPr id="6" name="Рисунок 6" descr="http://nordix-metrologia.narod.ru/2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ordix-metrologia.narod.ru/2/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proofErr w:type="spell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lastRenderedPageBreak/>
        <w:t>Гидромашина</w:t>
      </w:r>
      <w:proofErr w:type="spell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 ГМ 16.1.0.0</w:t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99FF"/>
          <w:sz w:val="17"/>
          <w:szCs w:val="17"/>
          <w:lang w:eastAsia="ru-RU"/>
        </w:rPr>
        <w:drawing>
          <wp:inline distT="0" distB="0" distL="0" distR="0">
            <wp:extent cx="5629275" cy="2628900"/>
            <wp:effectExtent l="19050" t="0" r="9525" b="0"/>
            <wp:docPr id="7" name="Рисунок 7" descr="http://nordix-metrologia.narod.ru/2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ordix-metrologia.narod.ru/2/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Структурная схема обозначения </w:t>
      </w:r>
      <w:proofErr w:type="gram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>реверсивной</w:t>
      </w:r>
      <w:proofErr w:type="gram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 xml:space="preserve"> нерегулируемой </w:t>
      </w:r>
      <w:proofErr w:type="spellStart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t>гидромашины</w:t>
      </w:r>
      <w:proofErr w:type="spellEnd"/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 w:rsidRPr="00705EBB">
        <w:rPr>
          <w:rFonts w:ascii="Verdana" w:eastAsia="Times New Roman" w:hAnsi="Verdana" w:cs="Times New Roman"/>
          <w:b/>
          <w:bCs/>
          <w:color w:val="0099FF"/>
          <w:sz w:val="17"/>
          <w:szCs w:val="17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99FF"/>
          <w:sz w:val="17"/>
          <w:szCs w:val="17"/>
          <w:lang w:eastAsia="ru-RU"/>
        </w:rPr>
        <w:drawing>
          <wp:inline distT="0" distB="0" distL="0" distR="0">
            <wp:extent cx="5257800" cy="3933825"/>
            <wp:effectExtent l="19050" t="0" r="0" b="0"/>
            <wp:docPr id="8" name="Рисунок 8" descr="http://nordix-metrologia.narod.ru/2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ordix-metrologia.narod.ru/2/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EBB" w:rsidRPr="00705EBB" w:rsidRDefault="00705EBB" w:rsidP="00705EB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</w:pPr>
      <w:r w:rsidRPr="00705EBB">
        <w:rPr>
          <w:rFonts w:ascii="Verdana" w:eastAsia="Times New Roman" w:hAnsi="Verdana" w:cs="Times New Roman"/>
          <w:color w:val="FFFFFF"/>
          <w:sz w:val="17"/>
          <w:szCs w:val="17"/>
          <w:lang w:eastAsia="ru-RU"/>
        </w:rPr>
        <w:t> </w:t>
      </w:r>
    </w:p>
    <w:p w:rsidR="008B213A" w:rsidRDefault="008B213A"/>
    <w:sectPr w:rsidR="008B213A" w:rsidSect="008B2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EBB"/>
    <w:rsid w:val="00705EBB"/>
    <w:rsid w:val="008B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70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1">
    <w:name w:val="text1"/>
    <w:basedOn w:val="a0"/>
    <w:rsid w:val="00705EBB"/>
  </w:style>
  <w:style w:type="character" w:styleId="a4">
    <w:name w:val="Strong"/>
    <w:basedOn w:val="a0"/>
    <w:uiPriority w:val="22"/>
    <w:qFormat/>
    <w:rsid w:val="00705EBB"/>
    <w:rPr>
      <w:b/>
      <w:bCs/>
    </w:rPr>
  </w:style>
  <w:style w:type="paragraph" w:customStyle="1" w:styleId="menu">
    <w:name w:val="menu"/>
    <w:basedOn w:val="a"/>
    <w:rsid w:val="0070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8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2284</Words>
  <Characters>13025</Characters>
  <Application>Microsoft Office Word</Application>
  <DocSecurity>0</DocSecurity>
  <Lines>108</Lines>
  <Paragraphs>30</Paragraphs>
  <ScaleCrop>false</ScaleCrop>
  <Company>Microsoft</Company>
  <LinksUpToDate>false</LinksUpToDate>
  <CharactersWithSpaces>15279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2011-10-10T15:48:00Z</dcterms:created>
  <dcterms:modified xsi:type="dcterms:W3CDTF">2011-10-10T15:49:00Z</dcterms:modified>
</cp:coreProperties>
</file>