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9FB" w:rsidRDefault="000529FB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</wp:posOffset>
            </wp:positionH>
            <wp:positionV relativeFrom="paragraph">
              <wp:posOffset>3479</wp:posOffset>
            </wp:positionV>
            <wp:extent cx="6543923" cy="4015408"/>
            <wp:effectExtent l="0" t="0" r="9525" b="23495"/>
            <wp:wrapNone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29FB" w:rsidRPr="000529FB" w:rsidRDefault="000529FB" w:rsidP="000529FB"/>
    <w:p w:rsidR="000529FB" w:rsidRDefault="000529FB" w:rsidP="000529FB"/>
    <w:p w:rsidR="00784227" w:rsidRPr="000529FB" w:rsidRDefault="000529FB" w:rsidP="000529FB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304</wp:posOffset>
            </wp:positionH>
            <wp:positionV relativeFrom="paragraph">
              <wp:posOffset>3868227</wp:posOffset>
            </wp:positionV>
            <wp:extent cx="6766560" cy="4238045"/>
            <wp:effectExtent l="0" t="0" r="15240" b="1016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84227" w:rsidRPr="000529FB" w:rsidSect="00365601">
      <w:pgSz w:w="11906" w:h="16838"/>
      <w:pgMar w:top="1134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9FB"/>
    <w:rsid w:val="000529FB"/>
    <w:rsid w:val="00365601"/>
    <w:rsid w:val="007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9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9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1"/>
          <c:order val="0"/>
          <c:tx>
            <c:v>мощность винта 1.7 м</c:v>
          </c:tx>
          <c:xVal>
            <c:numRef>
              <c:f>'мощность винта'!$H$2:$H$10</c:f>
              <c:numCache>
                <c:formatCode>General</c:formatCode>
                <c:ptCount val="9"/>
                <c:pt idx="0">
                  <c:v>1000</c:v>
                </c:pt>
                <c:pt idx="1">
                  <c:v>1200</c:v>
                </c:pt>
                <c:pt idx="2">
                  <c:v>1500</c:v>
                </c:pt>
                <c:pt idx="3">
                  <c:v>1800</c:v>
                </c:pt>
                <c:pt idx="4">
                  <c:v>2000</c:v>
                </c:pt>
                <c:pt idx="5">
                  <c:v>2200</c:v>
                </c:pt>
                <c:pt idx="6">
                  <c:v>2500</c:v>
                </c:pt>
                <c:pt idx="7">
                  <c:v>2700</c:v>
                </c:pt>
                <c:pt idx="8">
                  <c:v>3000</c:v>
                </c:pt>
              </c:numCache>
            </c:numRef>
          </c:xVal>
          <c:yVal>
            <c:numRef>
              <c:f>'мощность винта'!$I$2:$I$10</c:f>
              <c:numCache>
                <c:formatCode>General</c:formatCode>
                <c:ptCount val="9"/>
                <c:pt idx="0">
                  <c:v>6.7</c:v>
                </c:pt>
                <c:pt idx="1">
                  <c:v>11.6</c:v>
                </c:pt>
                <c:pt idx="2">
                  <c:v>22.6</c:v>
                </c:pt>
                <c:pt idx="3">
                  <c:v>39.1</c:v>
                </c:pt>
                <c:pt idx="4">
                  <c:v>53.6</c:v>
                </c:pt>
                <c:pt idx="5">
                  <c:v>71.400000000000006</c:v>
                </c:pt>
                <c:pt idx="6">
                  <c:v>104.8</c:v>
                </c:pt>
                <c:pt idx="7">
                  <c:v>132</c:v>
                </c:pt>
                <c:pt idx="8">
                  <c:v>181</c:v>
                </c:pt>
              </c:numCache>
            </c:numRef>
          </c:yVal>
          <c:smooth val="1"/>
        </c:ser>
        <c:ser>
          <c:idx val="0"/>
          <c:order val="1"/>
          <c:tx>
            <c:v>мощность двигателя</c:v>
          </c:tx>
          <c:xVal>
            <c:numRef>
              <c:f>'мощность винта'!$H$2:$H$10</c:f>
              <c:numCache>
                <c:formatCode>General</c:formatCode>
                <c:ptCount val="9"/>
                <c:pt idx="0">
                  <c:v>1000</c:v>
                </c:pt>
                <c:pt idx="1">
                  <c:v>1200</c:v>
                </c:pt>
                <c:pt idx="2">
                  <c:v>1500</c:v>
                </c:pt>
                <c:pt idx="3">
                  <c:v>1800</c:v>
                </c:pt>
                <c:pt idx="4">
                  <c:v>2000</c:v>
                </c:pt>
                <c:pt idx="5">
                  <c:v>2200</c:v>
                </c:pt>
                <c:pt idx="6">
                  <c:v>2500</c:v>
                </c:pt>
                <c:pt idx="7">
                  <c:v>2700</c:v>
                </c:pt>
                <c:pt idx="8">
                  <c:v>3000</c:v>
                </c:pt>
              </c:numCache>
            </c:numRef>
          </c:xVal>
          <c:yVal>
            <c:numRef>
              <c:f>'мощность винта'!$J$2:$J$10</c:f>
              <c:numCache>
                <c:formatCode>General</c:formatCode>
                <c:ptCount val="9"/>
                <c:pt idx="0">
                  <c:v>25</c:v>
                </c:pt>
                <c:pt idx="1">
                  <c:v>30</c:v>
                </c:pt>
                <c:pt idx="2">
                  <c:v>40</c:v>
                </c:pt>
                <c:pt idx="3">
                  <c:v>54</c:v>
                </c:pt>
                <c:pt idx="4">
                  <c:v>60</c:v>
                </c:pt>
                <c:pt idx="5">
                  <c:v>67</c:v>
                </c:pt>
                <c:pt idx="6">
                  <c:v>78</c:v>
                </c:pt>
                <c:pt idx="7">
                  <c:v>83</c:v>
                </c:pt>
                <c:pt idx="8">
                  <c:v>91</c:v>
                </c:pt>
              </c:numCache>
            </c:numRef>
          </c:yVal>
          <c:smooth val="1"/>
        </c:ser>
        <c:ser>
          <c:idx val="2"/>
          <c:order val="2"/>
          <c:tx>
            <c:v>мощность винта 1,6 м</c:v>
          </c:tx>
          <c:xVal>
            <c:numRef>
              <c:f>'мощность винта'!$H$2:$H$10</c:f>
              <c:numCache>
                <c:formatCode>General</c:formatCode>
                <c:ptCount val="9"/>
                <c:pt idx="0">
                  <c:v>1000</c:v>
                </c:pt>
                <c:pt idx="1">
                  <c:v>1200</c:v>
                </c:pt>
                <c:pt idx="2">
                  <c:v>1500</c:v>
                </c:pt>
                <c:pt idx="3">
                  <c:v>1800</c:v>
                </c:pt>
                <c:pt idx="4">
                  <c:v>2000</c:v>
                </c:pt>
                <c:pt idx="5">
                  <c:v>2200</c:v>
                </c:pt>
                <c:pt idx="6">
                  <c:v>2500</c:v>
                </c:pt>
                <c:pt idx="7">
                  <c:v>2700</c:v>
                </c:pt>
                <c:pt idx="8">
                  <c:v>3000</c:v>
                </c:pt>
              </c:numCache>
            </c:numRef>
          </c:xVal>
          <c:yVal>
            <c:numRef>
              <c:f>'мощность винта'!$K$2:$K$10</c:f>
              <c:numCache>
                <c:formatCode>General</c:formatCode>
                <c:ptCount val="9"/>
                <c:pt idx="0">
                  <c:v>5</c:v>
                </c:pt>
                <c:pt idx="1">
                  <c:v>8.6</c:v>
                </c:pt>
                <c:pt idx="2">
                  <c:v>16.7</c:v>
                </c:pt>
                <c:pt idx="3">
                  <c:v>28.9</c:v>
                </c:pt>
                <c:pt idx="4">
                  <c:v>39.6</c:v>
                </c:pt>
                <c:pt idx="5">
                  <c:v>52.7</c:v>
                </c:pt>
                <c:pt idx="6">
                  <c:v>77.400000000000006</c:v>
                </c:pt>
                <c:pt idx="7">
                  <c:v>97.5</c:v>
                </c:pt>
                <c:pt idx="8">
                  <c:v>133.69999999999999</c:v>
                </c:pt>
              </c:numCache>
            </c:numRef>
          </c:yVal>
          <c:smooth val="1"/>
        </c:ser>
        <c:ser>
          <c:idx val="3"/>
          <c:order val="3"/>
          <c:tx>
            <c:v>мощность винта 2 м</c:v>
          </c:tx>
          <c:xVal>
            <c:numRef>
              <c:f>'мощность винта'!$H$2:$H$8</c:f>
              <c:numCache>
                <c:formatCode>General</c:formatCode>
                <c:ptCount val="7"/>
                <c:pt idx="0">
                  <c:v>1000</c:v>
                </c:pt>
                <c:pt idx="1">
                  <c:v>1200</c:v>
                </c:pt>
                <c:pt idx="2">
                  <c:v>1500</c:v>
                </c:pt>
                <c:pt idx="3">
                  <c:v>1800</c:v>
                </c:pt>
                <c:pt idx="4">
                  <c:v>2000</c:v>
                </c:pt>
                <c:pt idx="5">
                  <c:v>2200</c:v>
                </c:pt>
                <c:pt idx="6">
                  <c:v>2500</c:v>
                </c:pt>
              </c:numCache>
            </c:numRef>
          </c:xVal>
          <c:yVal>
            <c:numRef>
              <c:f>'мощность винта'!$L$2:$L$8</c:f>
              <c:numCache>
                <c:formatCode>General</c:formatCode>
                <c:ptCount val="7"/>
                <c:pt idx="0">
                  <c:v>15.1</c:v>
                </c:pt>
                <c:pt idx="1">
                  <c:v>26.1</c:v>
                </c:pt>
                <c:pt idx="2">
                  <c:v>51.1</c:v>
                </c:pt>
                <c:pt idx="3">
                  <c:v>88.1</c:v>
                </c:pt>
                <c:pt idx="4">
                  <c:v>120.9</c:v>
                </c:pt>
                <c:pt idx="5">
                  <c:v>160.9</c:v>
                </c:pt>
                <c:pt idx="6">
                  <c:v>236.1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524736"/>
        <c:axId val="31526272"/>
      </c:scatterChart>
      <c:valAx>
        <c:axId val="31524736"/>
        <c:scaling>
          <c:orientation val="minMax"/>
        </c:scaling>
        <c:delete val="0"/>
        <c:axPos val="b"/>
        <c:majorGridlines/>
        <c:minorGridlines/>
        <c:numFmt formatCode="General" sourceLinked="1"/>
        <c:majorTickMark val="out"/>
        <c:minorTickMark val="none"/>
        <c:tickLblPos val="nextTo"/>
        <c:crossAx val="31526272"/>
        <c:crosses val="autoZero"/>
        <c:crossBetween val="midCat"/>
      </c:valAx>
      <c:valAx>
        <c:axId val="31526272"/>
        <c:scaling>
          <c:orientation val="minMax"/>
        </c:scaling>
        <c:delete val="0"/>
        <c:axPos val="l"/>
        <c:majorGridlines>
          <c:spPr>
            <a:ln>
              <a:solidFill>
                <a:schemeClr val="accent1"/>
              </a:solidFill>
            </a:ln>
          </c:spPr>
        </c:majorGridlines>
        <c:minorGridlines/>
        <c:numFmt formatCode="General" sourceLinked="1"/>
        <c:majorTickMark val="out"/>
        <c:minorTickMark val="none"/>
        <c:tickLblPos val="nextTo"/>
        <c:crossAx val="31524736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2364610315690939"/>
          <c:y val="5.1241112760665959E-2"/>
          <c:w val="0.77514268163288291"/>
          <c:h val="0.86130983030462671"/>
        </c:manualLayout>
      </c:layout>
      <c:lineChart>
        <c:grouping val="standard"/>
        <c:varyColors val="0"/>
        <c:ser>
          <c:idx val="0"/>
          <c:order val="0"/>
          <c:tx>
            <c:v>N</c:v>
          </c:tx>
          <c:cat>
            <c:numRef>
              <c:f>ВСХ!$A$2:$A$13</c:f>
              <c:numCache>
                <c:formatCode>General</c:formatCode>
                <c:ptCount val="12"/>
                <c:pt idx="0">
                  <c:v>1000</c:v>
                </c:pt>
                <c:pt idx="1">
                  <c:v>1200</c:v>
                </c:pt>
                <c:pt idx="2">
                  <c:v>1500</c:v>
                </c:pt>
                <c:pt idx="3">
                  <c:v>1800</c:v>
                </c:pt>
                <c:pt idx="4">
                  <c:v>2000</c:v>
                </c:pt>
                <c:pt idx="5">
                  <c:v>2200</c:v>
                </c:pt>
                <c:pt idx="6">
                  <c:v>2500</c:v>
                </c:pt>
                <c:pt idx="7">
                  <c:v>2700</c:v>
                </c:pt>
                <c:pt idx="8">
                  <c:v>3000</c:v>
                </c:pt>
                <c:pt idx="9">
                  <c:v>3200</c:v>
                </c:pt>
                <c:pt idx="10">
                  <c:v>3500</c:v>
                </c:pt>
                <c:pt idx="11">
                  <c:v>4000</c:v>
                </c:pt>
              </c:numCache>
            </c:numRef>
          </c:cat>
          <c:val>
            <c:numRef>
              <c:f>ВСХ!$B$2:$B$13</c:f>
              <c:numCache>
                <c:formatCode>General</c:formatCode>
                <c:ptCount val="12"/>
                <c:pt idx="0">
                  <c:v>25</c:v>
                </c:pt>
                <c:pt idx="1">
                  <c:v>30</c:v>
                </c:pt>
                <c:pt idx="2">
                  <c:v>40</c:v>
                </c:pt>
                <c:pt idx="3">
                  <c:v>54</c:v>
                </c:pt>
                <c:pt idx="4">
                  <c:v>60</c:v>
                </c:pt>
                <c:pt idx="5">
                  <c:v>67</c:v>
                </c:pt>
                <c:pt idx="6">
                  <c:v>78</c:v>
                </c:pt>
                <c:pt idx="7">
                  <c:v>83</c:v>
                </c:pt>
                <c:pt idx="8">
                  <c:v>91</c:v>
                </c:pt>
                <c:pt idx="9">
                  <c:v>95</c:v>
                </c:pt>
                <c:pt idx="10">
                  <c:v>102</c:v>
                </c:pt>
                <c:pt idx="11">
                  <c:v>110</c:v>
                </c:pt>
              </c:numCache>
            </c:numRef>
          </c:val>
          <c:smooth val="0"/>
        </c:ser>
        <c:ser>
          <c:idx val="1"/>
          <c:order val="1"/>
          <c:tx>
            <c:v>Mкр</c:v>
          </c:tx>
          <c:cat>
            <c:numRef>
              <c:f>ВСХ!$A$2:$A$13</c:f>
              <c:numCache>
                <c:formatCode>General</c:formatCode>
                <c:ptCount val="12"/>
                <c:pt idx="0">
                  <c:v>1000</c:v>
                </c:pt>
                <c:pt idx="1">
                  <c:v>1200</c:v>
                </c:pt>
                <c:pt idx="2">
                  <c:v>1500</c:v>
                </c:pt>
                <c:pt idx="3">
                  <c:v>1800</c:v>
                </c:pt>
                <c:pt idx="4">
                  <c:v>2000</c:v>
                </c:pt>
                <c:pt idx="5">
                  <c:v>2200</c:v>
                </c:pt>
                <c:pt idx="6">
                  <c:v>2500</c:v>
                </c:pt>
                <c:pt idx="7">
                  <c:v>2700</c:v>
                </c:pt>
                <c:pt idx="8">
                  <c:v>3000</c:v>
                </c:pt>
                <c:pt idx="9">
                  <c:v>3200</c:v>
                </c:pt>
                <c:pt idx="10">
                  <c:v>3500</c:v>
                </c:pt>
                <c:pt idx="11">
                  <c:v>4000</c:v>
                </c:pt>
              </c:numCache>
            </c:numRef>
          </c:cat>
          <c:val>
            <c:numRef>
              <c:f>ВСХ!$C$2:$C$13</c:f>
              <c:numCache>
                <c:formatCode>General</c:formatCode>
                <c:ptCount val="12"/>
                <c:pt idx="0">
                  <c:v>17</c:v>
                </c:pt>
                <c:pt idx="1">
                  <c:v>18.5</c:v>
                </c:pt>
                <c:pt idx="2">
                  <c:v>19.5</c:v>
                </c:pt>
                <c:pt idx="3">
                  <c:v>21</c:v>
                </c:pt>
                <c:pt idx="4">
                  <c:v>21.8</c:v>
                </c:pt>
                <c:pt idx="5">
                  <c:v>22</c:v>
                </c:pt>
                <c:pt idx="6">
                  <c:v>22.2</c:v>
                </c:pt>
                <c:pt idx="7">
                  <c:v>22.2</c:v>
                </c:pt>
                <c:pt idx="8">
                  <c:v>21.9</c:v>
                </c:pt>
                <c:pt idx="9">
                  <c:v>21.4</c:v>
                </c:pt>
                <c:pt idx="10">
                  <c:v>20.9</c:v>
                </c:pt>
                <c:pt idx="11">
                  <c:v>19.5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2579584"/>
        <c:axId val="32581120"/>
      </c:lineChart>
      <c:catAx>
        <c:axId val="32579584"/>
        <c:scaling>
          <c:orientation val="minMax"/>
        </c:scaling>
        <c:delete val="0"/>
        <c:axPos val="b"/>
        <c:majorGridlines/>
        <c:minorGridlines/>
        <c:numFmt formatCode="General" sourceLinked="1"/>
        <c:majorTickMark val="out"/>
        <c:minorTickMark val="none"/>
        <c:tickLblPos val="nextTo"/>
        <c:crossAx val="32581120"/>
        <c:crosses val="autoZero"/>
        <c:auto val="1"/>
        <c:lblAlgn val="ctr"/>
        <c:lblOffset val="100"/>
        <c:noMultiLvlLbl val="0"/>
      </c:catAx>
      <c:valAx>
        <c:axId val="32581120"/>
        <c:scaling>
          <c:orientation val="minMax"/>
        </c:scaling>
        <c:delete val="0"/>
        <c:axPos val="l"/>
        <c:majorGridlines/>
        <c:minorGridlines/>
        <c:numFmt formatCode="General" sourceLinked="1"/>
        <c:majorTickMark val="out"/>
        <c:minorTickMark val="none"/>
        <c:tickLblPos val="nextTo"/>
        <c:crossAx val="32579584"/>
        <c:crossesAt val="1"/>
        <c:crossBetween val="midCat"/>
        <c:majorUnit val="10"/>
        <c:minorUnit val="1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2015-02-23T17:03:00Z</dcterms:created>
  <dcterms:modified xsi:type="dcterms:W3CDTF">2015-02-23T17:06:00Z</dcterms:modified>
</cp:coreProperties>
</file>